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附件5</w:t>
      </w:r>
    </w:p>
    <w:p>
      <w:pPr>
        <w:spacing w:after="157" w:afterLines="50"/>
        <w:jc w:val="center"/>
        <w:outlineLvl w:val="0"/>
        <w:rPr>
          <w:rFonts w:eastAsia="仿宋_GB2312"/>
          <w:sz w:val="44"/>
          <w:szCs w:val="44"/>
        </w:rPr>
      </w:pPr>
      <w:bookmarkStart w:id="0" w:name="_GoBack"/>
      <w:r>
        <w:rPr>
          <w:rFonts w:eastAsia="方正小标宋简体"/>
          <w:sz w:val="44"/>
          <w:szCs w:val="44"/>
        </w:rPr>
        <w:t>研究生课程思政示范课程遴选指标体系</w:t>
      </w:r>
    </w:p>
    <w:bookmarkEnd w:id="0"/>
    <w:tbl>
      <w:tblPr>
        <w:tblStyle w:val="2"/>
        <w:tblW w:w="1480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760"/>
        <w:gridCol w:w="9760"/>
        <w:gridCol w:w="10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kern w:val="0"/>
                <w:sz w:val="22"/>
              </w:rPr>
            </w:pPr>
            <w:r>
              <w:rPr>
                <w:rFonts w:eastAsia="仿宋_GB2312"/>
                <w:b/>
                <w:bCs/>
                <w:kern w:val="0"/>
                <w:sz w:val="22"/>
              </w:rPr>
              <w:t>一级指标</w:t>
            </w: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kern w:val="0"/>
                <w:sz w:val="22"/>
              </w:rPr>
            </w:pPr>
            <w:r>
              <w:rPr>
                <w:rFonts w:eastAsia="仿宋_GB2312"/>
                <w:b/>
                <w:bCs/>
                <w:kern w:val="0"/>
                <w:sz w:val="22"/>
              </w:rPr>
              <w:t>二级指标</w:t>
            </w:r>
          </w:p>
        </w:tc>
        <w:tc>
          <w:tcPr>
            <w:tcW w:w="9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kern w:val="0"/>
                <w:sz w:val="22"/>
              </w:rPr>
            </w:pPr>
            <w:r>
              <w:rPr>
                <w:rFonts w:eastAsia="仿宋_GB2312"/>
                <w:b/>
                <w:bCs/>
                <w:kern w:val="0"/>
                <w:sz w:val="22"/>
              </w:rPr>
              <w:t>指标说明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kern w:val="0"/>
                <w:sz w:val="22"/>
              </w:rPr>
            </w:pPr>
            <w:r>
              <w:rPr>
                <w:rFonts w:eastAsia="仿宋_GB2312"/>
                <w:b/>
                <w:bCs/>
                <w:kern w:val="0"/>
                <w:sz w:val="22"/>
              </w:rPr>
              <w:t>分值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  <w:jc w:val="center"/>
        </w:trPr>
        <w:tc>
          <w:tcPr>
            <w:tcW w:w="22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教学团队</w:t>
            </w:r>
          </w:p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（20分）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授课教师</w:t>
            </w:r>
          </w:p>
        </w:tc>
        <w:tc>
          <w:tcPr>
            <w:tcW w:w="9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授课教师政治立场坚定，师德师风良好，课程负责人具有高级职称。能够准确把握本课程开展课程思政建设的方向和重点，并融入课程教学全过程。主动开展以“课程思政”为目标的课堂教学改革，并切实在实际教学过程中进行实践应用，深化教书育人内涵。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  <w:jc w:val="center"/>
        </w:trPr>
        <w:tc>
          <w:tcPr>
            <w:tcW w:w="22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团队建设</w:t>
            </w:r>
          </w:p>
        </w:tc>
        <w:tc>
          <w:tcPr>
            <w:tcW w:w="9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课程教学团队人员结构合理，任务分工明确，集体教研制度完善且有效实施，定期开展课程思政建设教学研究和交流，课程思政建设整体水平高。教学团队能够主动参与教学培训活动，积极开展“课程思政”教学研讨，定期开展集体备课，精选教学内容和案例，提升教师“思政”意识和能力，提高教师团队“课程思政”教学本领，落实教师“课程思政”主体责任。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2280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课程设计与实践</w:t>
            </w:r>
          </w:p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（35分）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建设目标</w:t>
            </w:r>
          </w:p>
        </w:tc>
        <w:tc>
          <w:tcPr>
            <w:tcW w:w="9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课程注重体现学校办学定位和专业特色、注重价值塑造、知识传授与能力培养相统一，科学设计课程目标和教案课件，以专业知识为载体，充分挖掘本课程的思政教育元素，将思想政治教育贯穿教育教学全过程，实现知识传授和价值引领相统一，教书和育人相统一，充分发挥课堂育人主渠道作用。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228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内容供给</w:t>
            </w:r>
          </w:p>
        </w:tc>
        <w:tc>
          <w:tcPr>
            <w:tcW w:w="9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课程体现习近平新时代中国特色社会主义思想和现代教育思想，体现新时代的使命和追求，准确把握“坚定学生理想信念，教育学生爱党、爱国、爱社会主义、爱人民、爱集体”主线，结合所在学科专业、所属课程类型的育人要求和特点，深入挖掘蕴含的思政教育资源，并合理融入课程大纲。能够结合课程特点，将思想政治教育内容与学科发展前沿成果、专业名人、专家学者、专业历史等课程内容紧密结合，将理想信念、行为规范、道德品质、家国情怀、社会热点、职业素养、社会责任、民族自信、工匠精神、思维方法、人文修养等内容自然融入到课程教学中，优化课程思政内容供给，以培养高层次创新人才为核心，突出科研育人。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  <w:jc w:val="center"/>
        </w:trPr>
        <w:tc>
          <w:tcPr>
            <w:tcW w:w="228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教学方法</w:t>
            </w:r>
          </w:p>
        </w:tc>
        <w:tc>
          <w:tcPr>
            <w:tcW w:w="9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 xml:space="preserve"> 重视探究性学习、研究性学习，能根据课程内容和学生特点，灵活运用启发式、讨论式、参与式、案例式等多种恰当的教学方法，精细设计教学方案，精准供给思政元素，把价值引领与知识传授融合起来，有效调动学生学习的积极性，促进学生学习能力提升。注重信息技术与课程教学的紧密结合，教学手段先进，合理利用线上线下混合式教学模式，教学效果良好。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2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课程评价与成效</w:t>
            </w:r>
          </w:p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（15分）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教学评价</w:t>
            </w:r>
          </w:p>
        </w:tc>
        <w:tc>
          <w:tcPr>
            <w:tcW w:w="9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课程考核方式和评价办法完善，育人效果显著，积极开展督导评价、同行评价、学生评价等多形式的课程教学评价，学生评教结果优秀，校内外同行专家评价良好。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教学改革</w:t>
            </w:r>
          </w:p>
        </w:tc>
        <w:tc>
          <w:tcPr>
            <w:tcW w:w="9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开展“课程思政”教学改革与创新，并取得一定成果，其经验得到一定推广。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示范辐射</w:t>
            </w:r>
          </w:p>
        </w:tc>
        <w:tc>
          <w:tcPr>
            <w:tcW w:w="9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课程形成较高水平的课程思政示范成果，具有良好的辐射作用。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课程特色与创新</w:t>
            </w:r>
          </w:p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（15分）</w:t>
            </w:r>
          </w:p>
        </w:tc>
        <w:tc>
          <w:tcPr>
            <w:tcW w:w="9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课程注重课程思政建设模式创新，教学内容体现思想性、前沿性与时代性，教学方法体现先进性、互动性与针对性，形成可供同类课程借鉴共享的经验、成果和模式。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教学反思与改进</w:t>
            </w:r>
          </w:p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（15分）</w:t>
            </w:r>
          </w:p>
        </w:tc>
        <w:tc>
          <w:tcPr>
            <w:tcW w:w="9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能够对教学内容和过程进行梳理和反思，做到适时调整，能够不断改进教学方法。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15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NmYTViYTcyNDAzNGIwNDc5MjU5MTc5M2E0MjA1ZjEifQ=="/>
  </w:docVars>
  <w:rsids>
    <w:rsidRoot w:val="78ED212E"/>
    <w:rsid w:val="78ED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2023-08-12T14:32:00Z</dcterms:created>
  <dc:creator>434575419</dc:creator>
  <cp:lastModifiedBy>434575419</cp:lastModifiedBy>
  <dcterms:modified xsi:type="dcterms:W3CDTF">2023-08-12T14:34:22Z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134A3994D84C47089D33482C1A0F0608_11</vt:lpwstr>
  </property>
</Properties>
</file>